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6"/>
        <w:ind w:left="0" w:right="6230" w:firstLine="0"/>
        <w:jc w:val="center"/>
        <w:widowControl w:val="off"/>
        <w:rPr>
          <w:rFonts w:ascii="PT Astra Serif" w:hAnsi="PT Astra Serif" w:eastAsia="PT Astra Serif" w:cs="PT Astra Serif"/>
          <w:b/>
          <w:bCs/>
          <w:spacing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755" cy="673735"/>
                <wp:effectExtent l="0" t="0" r="0" b="0"/>
                <wp:docPr id="1" name="Изображение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-245" t="-198" r="-245" b="-197"/>
                        <a:stretch/>
                      </pic:blipFill>
                      <pic:spPr bwMode="auto">
                        <a:xfrm>
                          <a:off x="0" y="0"/>
                          <a:ext cx="579755" cy="673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6pt;height:53.0pt;mso-wrap-distance-left:0.0pt;mso-wrap-distance-top:0.0pt;mso-wrap-distance-right:0.0pt;mso-wrap-distance-bottom:0.0pt;" stroked="false">
                <v:path textboxrect="0,0,0,0"/>
                <v:imagedata r:id="rId10" o:title=""/>
              </v:shape>
            </w:pict>
          </mc:Fallback>
        </mc:AlternateContent>
      </w:r>
      <w:r/>
    </w:p>
    <w:tbl>
      <w:tblPr>
        <w:tblW w:w="10148" w:type="dxa"/>
        <w:tblInd w:w="-233" w:type="dxa"/>
        <w:tblLayout w:type="fixed"/>
        <w:tblCellMar>
          <w:left w:w="107" w:type="dxa"/>
          <w:top w:w="0" w:type="dxa"/>
          <w:right w:w="107" w:type="dxa"/>
          <w:bottom w:w="0" w:type="dxa"/>
        </w:tblCellMar>
        <w:tblLook w:val="04A0" w:firstRow="1" w:lastRow="0" w:firstColumn="1" w:lastColumn="0" w:noHBand="0" w:noVBand="1"/>
      </w:tblPr>
      <w:tblGrid>
        <w:gridCol w:w="480"/>
        <w:gridCol w:w="597"/>
        <w:gridCol w:w="959"/>
        <w:gridCol w:w="454"/>
        <w:gridCol w:w="1544"/>
        <w:gridCol w:w="1592"/>
        <w:gridCol w:w="4521"/>
      </w:tblGrid>
      <w:tr>
        <w:trPr/>
        <w:tc>
          <w:tcPr>
            <w:gridSpan w:val="5"/>
            <w:tcW w:w="4034" w:type="dxa"/>
            <w:textDirection w:val="lrTb"/>
            <w:noWrap w:val="false"/>
          </w:tcPr>
          <w:p>
            <w:pPr>
              <w:pStyle w:val="656"/>
              <w:numPr>
                <w:ilvl w:val="0"/>
                <w:numId w:val="0"/>
              </w:numPr>
              <w:ind w:left="0" w:right="0" w:firstLine="0"/>
              <w:jc w:val="center"/>
              <w:keepNext/>
              <w:spacing w:before="120" w:after="0" w:line="280" w:lineRule="exact"/>
              <w:widowControl w:val="off"/>
            </w:pPr>
            <w:r>
              <w:rPr>
                <w:rFonts w:ascii="PT Astra Serif" w:hAnsi="PT Astra Serif" w:eastAsia="PT Astra Serif" w:cs="PT Astra Serif"/>
                <w:b/>
                <w:bCs/>
                <w:spacing w:val="20"/>
              </w:rPr>
              <w:t xml:space="preserve">    </w:t>
            </w:r>
            <w:r>
              <w:rPr>
                <w:rFonts w:ascii="PT Astra Serif" w:hAnsi="PT Astra Serif" w:cs="PT Astra Serif"/>
                <w:b/>
                <w:bCs/>
                <w:spacing w:val="20"/>
              </w:rPr>
              <w:t xml:space="preserve">МИНИСТЕРСТВО</w:t>
            </w:r>
            <w:r/>
          </w:p>
          <w:p>
            <w:pPr>
              <w:pStyle w:val="656"/>
              <w:jc w:val="center"/>
              <w:spacing w:line="280" w:lineRule="exact"/>
              <w:widowControl w:val="off"/>
            </w:pPr>
            <w:r>
              <w:rPr>
                <w:rFonts w:ascii="PT Astra Serif" w:hAnsi="PT Astra Serif" w:eastAsia="PT Astra Serif" w:cs="PT Astra Serif"/>
                <w:b/>
                <w:bCs/>
                <w:spacing w:val="20"/>
              </w:rPr>
              <w:t xml:space="preserve">    </w:t>
            </w:r>
            <w:r>
              <w:rPr>
                <w:rFonts w:ascii="PT Astra Serif" w:hAnsi="PT Astra Serif" w:cs="PT Astra Serif"/>
                <w:b/>
                <w:bCs/>
                <w:spacing w:val="20"/>
              </w:rPr>
              <w:t xml:space="preserve">ОБРАЗОВАНИЯ</w:t>
            </w:r>
            <w:r/>
          </w:p>
          <w:p>
            <w:pPr>
              <w:pStyle w:val="656"/>
              <w:jc w:val="center"/>
              <w:spacing w:line="280" w:lineRule="exact"/>
              <w:widowControl w:val="off"/>
            </w:pPr>
            <w:r>
              <w:rPr>
                <w:rFonts w:ascii="PT Astra Serif" w:hAnsi="PT Astra Serif" w:eastAsia="PT Astra Serif" w:cs="PT Astra Serif"/>
                <w:b/>
                <w:bCs/>
                <w:spacing w:val="20"/>
              </w:rPr>
              <w:t xml:space="preserve">     </w:t>
            </w:r>
            <w:r>
              <w:rPr>
                <w:rFonts w:ascii="PT Astra Serif" w:hAnsi="PT Astra Serif" w:cs="PT Astra Serif"/>
                <w:b/>
                <w:bCs/>
                <w:spacing w:val="20"/>
              </w:rPr>
              <w:t xml:space="preserve">ПРИМОРСКОГО КРАЯ</w:t>
            </w:r>
            <w:r/>
          </w:p>
          <w:p>
            <w:pPr>
              <w:pStyle w:val="656"/>
              <w:ind w:left="0" w:right="510" w:firstLine="0"/>
              <w:jc w:val="center"/>
              <w:spacing w:line="200" w:lineRule="exact"/>
              <w:widowControl w:val="off"/>
              <w:rPr>
                <w:rFonts w:ascii="PT Astra Serif" w:hAnsi="PT Astra Serif" w:cs="PT Astra Serif"/>
                <w:b/>
                <w:bCs/>
                <w:spacing w:val="20"/>
                <w:sz w:val="16"/>
                <w:szCs w:val="16"/>
              </w:rPr>
            </w:pPr>
            <w:r>
              <w:rPr>
                <w:rFonts w:ascii="PT Astra Serif" w:hAnsi="PT Astra Serif" w:cs="PT Astra Serif"/>
                <w:b/>
                <w:bCs/>
                <w:spacing w:val="20"/>
                <w:sz w:val="16"/>
                <w:szCs w:val="16"/>
              </w:rPr>
            </w:r>
            <w:r/>
          </w:p>
          <w:p>
            <w:pPr>
              <w:pStyle w:val="656"/>
              <w:jc w:val="center"/>
              <w:spacing w:line="180" w:lineRule="exact"/>
              <w:widowControl w:val="off"/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  <w:t xml:space="preserve">          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ул.</w:t>
            </w:r>
            <w:r>
              <w:rPr>
                <w:rFonts w:ascii="PT Astra Serif" w:hAnsi="PT Astra Serif" w:cs="PT Astra Serif"/>
                <w:sz w:val="18"/>
                <w:szCs w:val="18"/>
                <w:lang w:val="en-US"/>
              </w:rPr>
              <w:t xml:space="preserve"> 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Светланская, 22, г. Владивосток, 690110</w:t>
            </w:r>
            <w:r/>
          </w:p>
          <w:p>
            <w:pPr>
              <w:pStyle w:val="656"/>
              <w:ind w:left="-57" w:right="-57" w:firstLine="0"/>
              <w:jc w:val="center"/>
              <w:spacing w:line="200" w:lineRule="exact"/>
              <w:widowControl w:val="off"/>
            </w:pPr>
            <w:r>
              <w:rPr>
                <w:rFonts w:ascii="PT Astra Serif" w:hAnsi="PT Astra Serif" w:eastAsia="PT Astra Serif" w:cs="PT Astra Serif"/>
                <w:sz w:val="18"/>
                <w:szCs w:val="18"/>
              </w:rPr>
              <w:t xml:space="preserve">     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Телефон:</w:t>
            </w:r>
            <w:r>
              <w:rPr>
                <w:rFonts w:ascii="PT Astra Serif" w:hAnsi="PT Astra Serif" w:cs="PT Astra Serif"/>
                <w:sz w:val="18"/>
                <w:szCs w:val="18"/>
                <w:lang w:val="en-US"/>
              </w:rPr>
              <w:t xml:space="preserve"> 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(423)</w:t>
            </w:r>
            <w:r>
              <w:rPr>
                <w:rFonts w:ascii="PT Astra Serif" w:hAnsi="PT Astra Serif" w:cs="PT Astra Serif"/>
                <w:sz w:val="18"/>
                <w:szCs w:val="18"/>
                <w:lang w:val="en-US"/>
              </w:rPr>
              <w:t xml:space="preserve"> 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240-28-04</w:t>
            </w:r>
            <w:r/>
          </w:p>
          <w:p>
            <w:pPr>
              <w:pStyle w:val="656"/>
              <w:jc w:val="center"/>
              <w:spacing w:before="0" w:after="120"/>
              <w:widowControl w:val="off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PT Astra Serif" w:hAnsi="PT Astra Serif" w:cs="PT Astra Serif"/>
                <w:sz w:val="20"/>
                <w:szCs w:val="20"/>
                <w:lang w:val="en-US"/>
              </w:rPr>
              <w:t xml:space="preserve">E-mail: minobrpk@primorsky.ru</w:t>
            </w:r>
            <w:r/>
          </w:p>
        </w:tc>
        <w:tc>
          <w:tcPr>
            <w:tcW w:w="1592" w:type="dxa"/>
            <w:textDirection w:val="lrTb"/>
            <w:noWrap w:val="false"/>
          </w:tcPr>
          <w:p>
            <w:pPr>
              <w:pStyle w:val="656"/>
              <w:widowControl w:val="off"/>
              <w:rPr>
                <w:rFonts w:ascii="PT Astra Serif" w:hAnsi="PT Astra Serif" w:cs="PT Astra Serif"/>
                <w:sz w:val="12"/>
                <w:szCs w:val="12"/>
                <w:lang w:val="en-US"/>
              </w:rPr>
            </w:pPr>
            <w:r>
              <w:rPr>
                <w:rFonts w:ascii="PT Astra Serif" w:hAnsi="PT Astra Serif" w:cs="PT Astra Serif"/>
                <w:sz w:val="12"/>
                <w:szCs w:val="12"/>
                <w:lang w:val="en-US"/>
              </w:rPr>
            </w:r>
            <w:r/>
          </w:p>
        </w:tc>
        <w:tc>
          <w:tcPr>
            <w:tcW w:w="4521" w:type="dxa"/>
            <w:vMerge w:val="restart"/>
            <w:textDirection w:val="lrTb"/>
            <w:noWrap w:val="false"/>
          </w:tcPr>
          <w:p>
            <w:pPr>
              <w:pStyle w:val="656"/>
              <w:ind w:left="0" w:right="0" w:firstLine="0"/>
              <w:jc w:val="center"/>
              <w:spacing w:before="220"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Руководителям муниципальных органов управления образованием Приморского края</w:t>
            </w:r>
            <w:r/>
          </w:p>
          <w:p>
            <w:pPr>
              <w:pStyle w:val="656"/>
              <w:ind w:left="0" w:right="0" w:firstLine="0"/>
              <w:jc w:val="center"/>
              <w:spacing w:before="220"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(по списку)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</w:r>
            <w:r/>
            <w:r/>
          </w:p>
          <w:p>
            <w:pPr>
              <w:pStyle w:val="656"/>
              <w:ind w:left="0" w:right="0" w:firstLine="0"/>
              <w:jc w:val="center"/>
              <w:spacing w:before="220"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Руководителям краевых  образовательных организаций Приморского края</w:t>
            </w:r>
            <w:r/>
          </w:p>
          <w:p>
            <w:pPr>
              <w:pStyle w:val="656"/>
              <w:ind w:left="0" w:right="0" w:firstLine="0"/>
              <w:jc w:val="center"/>
              <w:spacing w:before="220"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(по списку)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rPr>
          <w:trHeight w:val="284"/>
        </w:trPr>
        <w:tc>
          <w:tcPr>
            <w:tcW w:w="480" w:type="dxa"/>
            <w:vAlign w:val="bottom"/>
            <w:textDirection w:val="lrTb"/>
            <w:noWrap w:val="false"/>
          </w:tcPr>
          <w:p>
            <w:pPr>
              <w:pStyle w:val="656"/>
              <w:jc w:val="center"/>
              <w:widowControl w:val="off"/>
              <w:rPr>
                <w:rFonts w:ascii="Times New Roman" w:hAnsi="Times New Roman" w:cs="Times New Roman"/>
                <w:spacing w:val="60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pacing w:val="60"/>
                <w:sz w:val="20"/>
                <w:szCs w:val="28"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556" w:type="dxa"/>
            <w:vAlign w:val="bottom"/>
            <w:textDirection w:val="lrTb"/>
            <w:noWrap w:val="false"/>
          </w:tcPr>
          <w:p>
            <w:pPr>
              <w:pStyle w:val="656"/>
              <w:ind w:left="-107" w:right="-107" w:firstLine="0"/>
              <w:jc w:val="center"/>
              <w:widowControl w:val="off"/>
              <w:rPr>
                <w:rFonts w:ascii="Times New Roman" w:hAnsi="Times New Roman" w:cs="Times New Roman"/>
                <w:spacing w:val="60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pacing w:val="60"/>
                <w:sz w:val="20"/>
                <w:szCs w:val="28"/>
              </w:rPr>
            </w:r>
            <w:r/>
          </w:p>
        </w:tc>
        <w:tc>
          <w:tcPr>
            <w:tcW w:w="454" w:type="dxa"/>
            <w:vAlign w:val="bottom"/>
            <w:textDirection w:val="lrTb"/>
            <w:noWrap w:val="false"/>
          </w:tcPr>
          <w:p>
            <w:pPr>
              <w:pStyle w:val="656"/>
              <w:ind w:left="-57" w:right="-57" w:firstLine="0"/>
              <w:jc w:val="center"/>
              <w:widowControl w:val="o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</w:t>
            </w:r>
            <w:r/>
          </w:p>
        </w:tc>
        <w:tc>
          <w:tcPr>
            <w:tcBorders>
              <w:bottom w:val="single" w:color="000000" w:sz="4" w:space="0"/>
            </w:tcBorders>
            <w:tcW w:w="1544" w:type="dxa"/>
            <w:vAlign w:val="bottom"/>
            <w:textDirection w:val="lrTb"/>
            <w:noWrap w:val="false"/>
          </w:tcPr>
          <w:p>
            <w:pPr>
              <w:pStyle w:val="656"/>
              <w:ind w:left="-87" w:right="-107" w:firstLine="0"/>
              <w:widowControl w:val="off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/>
          </w:p>
        </w:tc>
        <w:tc>
          <w:tcPr>
            <w:tcW w:w="1592" w:type="dxa"/>
            <w:vAlign w:val="bottom"/>
            <w:textDirection w:val="lrTb"/>
            <w:noWrap w:val="false"/>
          </w:tcPr>
          <w:p>
            <w:pPr>
              <w:pStyle w:val="656"/>
              <w:widowControl w:val="off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/>
          </w:p>
        </w:tc>
        <w:tc>
          <w:tcPr>
            <w:tcW w:w="4521" w:type="dxa"/>
            <w:vMerge w:val="continue"/>
            <w:textDirection w:val="lrTb"/>
            <w:noWrap w:val="false"/>
          </w:tcPr>
          <w:p>
            <w:pPr>
              <w:pStyle w:val="656"/>
              <w:widowControl w:val="off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/>
          </w:p>
        </w:tc>
      </w:tr>
      <w:tr>
        <w:trPr>
          <w:trHeight w:val="315"/>
        </w:trPr>
        <w:tc>
          <w:tcPr>
            <w:gridSpan w:val="2"/>
            <w:tcW w:w="1077" w:type="dxa"/>
            <w:vAlign w:val="bottom"/>
            <w:textDirection w:val="lrTb"/>
            <w:noWrap w:val="false"/>
          </w:tcPr>
          <w:p>
            <w:pPr>
              <w:pStyle w:val="656"/>
              <w:ind w:left="-107" w:right="-107" w:firstLine="0"/>
              <w:jc w:val="right"/>
              <w:widowControl w:val="o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№</w:t>
            </w:r>
            <w:r/>
          </w:p>
        </w:tc>
        <w:tc>
          <w:tcPr>
            <w:tcBorders>
              <w:bottom w:val="single" w:color="000000" w:sz="4" w:space="0"/>
            </w:tcBorders>
            <w:tcW w:w="959" w:type="dxa"/>
            <w:vAlign w:val="bottom"/>
            <w:textDirection w:val="lrTb"/>
            <w:noWrap w:val="false"/>
          </w:tcPr>
          <w:p>
            <w:pPr>
              <w:pStyle w:val="656"/>
              <w:ind w:right="-57"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</w:tc>
        <w:tc>
          <w:tcPr>
            <w:tcW w:w="454" w:type="dxa"/>
            <w:vAlign w:val="bottom"/>
            <w:textDirection w:val="lrTb"/>
            <w:noWrap w:val="false"/>
          </w:tcPr>
          <w:p>
            <w:pPr>
              <w:pStyle w:val="656"/>
              <w:ind w:left="-113" w:right="-57" w:firstLine="0"/>
              <w:jc w:val="center"/>
              <w:spacing w:before="180" w:after="0"/>
              <w:widowControl w:val="o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1544" w:type="dxa"/>
            <w:vAlign w:val="bottom"/>
            <w:textDirection w:val="lrTb"/>
            <w:noWrap w:val="false"/>
          </w:tcPr>
          <w:p>
            <w:pPr>
              <w:pStyle w:val="656"/>
              <w:ind w:right="-107" w:firstLine="0"/>
              <w:jc w:val="center"/>
              <w:widowControl w:val="off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</w:r>
            <w:r/>
          </w:p>
        </w:tc>
        <w:tc>
          <w:tcPr>
            <w:tcW w:w="1592" w:type="dxa"/>
            <w:vAlign w:val="bottom"/>
            <w:textDirection w:val="lrTb"/>
            <w:noWrap w:val="false"/>
          </w:tcPr>
          <w:p>
            <w:pPr>
              <w:pStyle w:val="656"/>
              <w:widowControl w:val="off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</w:r>
            <w:r/>
          </w:p>
        </w:tc>
        <w:tc>
          <w:tcPr>
            <w:tcW w:w="4521" w:type="dxa"/>
            <w:vMerge w:val="continue"/>
            <w:textDirection w:val="lrTb"/>
            <w:noWrap w:val="false"/>
          </w:tcPr>
          <w:p>
            <w:pPr>
              <w:pStyle w:val="656"/>
              <w:widowControl w:val="off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</w:r>
            <w:r/>
          </w:p>
        </w:tc>
      </w:tr>
    </w:tbl>
    <w:p>
      <w:pPr>
        <w:pStyle w:val="656"/>
        <w:ind w:left="0" w:right="0" w:firstLine="0"/>
        <w:jc w:val="left"/>
        <w:spacing w:line="11" w:lineRule="atLeast"/>
        <w:shd w:val="clear" w:color="auto" w:fill="ffffff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/>
    </w:p>
    <w:p>
      <w:pPr>
        <w:pStyle w:val="656"/>
        <w:widowControl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Информационное письмо</w:t>
      </w:r>
      <w:r/>
    </w:p>
    <w:p>
      <w:pPr>
        <w:pStyle w:val="656"/>
        <w:numPr>
          <w:ilvl w:val="0"/>
          <w:numId w:val="0"/>
        </w:numPr>
        <w:ind w:left="0" w:right="0" w:firstLine="0"/>
        <w:jc w:val="center"/>
        <w:spacing w:line="336" w:lineRule="auto"/>
        <w:shd w:val="clear" w:color="auto" w:fill="ffffff"/>
        <w:widowControl/>
        <w:rPr>
          <w:rFonts w:ascii="Times New Roman" w:hAnsi="Times New Roman" w:eastAsia="PT Astra Serif" w:cs="Times New Roman"/>
          <w:sz w:val="28"/>
          <w:szCs w:val="28"/>
        </w:rPr>
      </w:pPr>
      <w:r>
        <w:rPr>
          <w:rFonts w:ascii="Times New Roman" w:hAnsi="Times New Roman" w:eastAsia="PT Astra Serif" w:cs="PT Astra Serif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</w:r>
      <w:r/>
    </w:p>
    <w:p>
      <w:pPr>
        <w:numPr>
          <w:ilvl w:val="0"/>
          <w:numId w:val="0"/>
        </w:numPr>
        <w:ind w:left="0" w:right="0" w:firstLine="0"/>
        <w:jc w:val="center"/>
        <w:spacing w:line="336" w:lineRule="auto"/>
        <w:shd w:val="clear" w:color="auto" w:fill="ffffff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sz w:val="28"/>
          <w:szCs w:val="28"/>
        </w:rPr>
        <w:t xml:space="preserve">Уважаемые коллеги! </w:t>
      </w:r>
      <w:r/>
    </w:p>
    <w:p>
      <w:pPr>
        <w:pStyle w:val="656"/>
        <w:numPr>
          <w:ilvl w:val="0"/>
          <w:numId w:val="0"/>
        </w:numPr>
        <w:ind w:left="0" w:right="0" w:firstLine="0"/>
        <w:jc w:val="center"/>
        <w:spacing w:line="336" w:lineRule="auto"/>
        <w:shd w:val="clear" w:color="auto" w:fill="ffffff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По информации предоставленной в адрес министерства образования Приморского края (далее – министерство) г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Приморскому краю (далее - главное управление МЧС России по Приморскому краю), на территории Приморского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края в 2024 году зарегистрировано 5 пожаров на объектах образования, а именно: 4 во Владивостокском городском округе (ВГАОУ ВО «ДВФУ», ФГБОУ «ВВГУ», МБДОУ «Детский сад № 172», МБОУ «СОШ № 83») и 1 в городском округе Большой камень (МБДОУ № 49 «Родничок»).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Главным управлением МЧС России по Приморскому краю осуществляются мероприятия по надзору за со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блюдением обязательных требований пожарной безопасности в учреждениях образования Приморского края, определённых Федеральным законом от 22 июля 2008 года № 123-ФЗ «Технический регламент о требованиях пожарной безопасности» и иными нормативными документами.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С учетом действующего законодательства в те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чение прошлого года в отношении объектов образования проведено 3856 профилактических визитов и 27 выездных проверок, по результатам которых выявлено 401 нарушение, выдано 77 предписаний об устранении нарушений обязательных требований пожарной безопасности.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На сегодняшний день нарушения требований пожарной безопасности остаются 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не устраненными на 594 объектах образования (имеются действующие предписания на отчетную дату). Вместе с тем, на 421 объекте образования эксплуатация систем автоматической противопожарной защиты превышает 10-летний срок. Эксплуатация систем с превышением с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рока приводит к ряду проблемных вопросов при обслуживании (отсутствие запасных частей, нецелесообразность технического освидетельствования, выход из строя при аварийных режимах работы и т.п.) негативно сказывающихся на исправном состоянии указанных систем.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Кроме того, допускаются случаи размещения объектов в зданиях V и IV степени огнестойкости. Уровень огнестойкости относится к самым главным параметрам, влияющим на пожаробезопасность 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зданий и сооружений. Низкая степень огнестойкости объектов характеризуется незначительным временем сопротивления здания или сооружения к воздействию огня, что влияет на возможность людей покинуть здание с минимальными последствиями для их жизни и здоровья.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С учетом ограничений, установленных постановлением Правительс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тва Российской Федерации от 10 марта 2022 года № 366 «Об особенностях организации и осуществления государственного контроля (надзора), муниципального контроля» в части проведения контрольных (надзорных) мероприятий в отношении образовательных организаций, 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министерство </w:t>
      </w:r>
      <w:r>
        <w:rPr>
          <w:rFonts w:ascii="Times New Roman" w:hAnsi="Times New Roman" w:eastAsia="PT Astra Serif" w:cs="Times New Roman"/>
          <w:b/>
          <w:bCs/>
          <w:color w:val="000000"/>
          <w:sz w:val="28"/>
          <w:szCs w:val="28"/>
          <w:lang w:eastAsia="zh-CN"/>
        </w:rPr>
        <w:t xml:space="preserve">РЕКОМЕНДУЕТ</w:t>
      </w:r>
      <w:r>
        <w:rPr>
          <w:rFonts w:ascii="Times New Roman" w:hAnsi="Times New Roman" w:eastAsia="PT Astra Serif" w:cs="Times New Roman"/>
          <w:b/>
          <w:bCs/>
          <w:color w:val="000000"/>
          <w:sz w:val="28"/>
          <w:szCs w:val="28"/>
          <w:lang w:eastAsia="zh-CN"/>
        </w:rPr>
        <w:t xml:space="preserve">: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1) реализовать прин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ятие решений и мер по устранению нарушений требований пожарной безопасности, рассмотреть вопрос о выделении дополнительных финансовых средств в 2025-2026 году на мероприятия по реализации мер пожарной безопасности, требующих значительных финансовых затрат;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2) обеспечить размещение на интернет-сайтах образовательных организаций памятки родителям по недопущению оставления детей одних дома без присмотра, необходимости установки и нахожд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ения в исправном состоянии автономных дымовых пожарных извещателей в комнатах квартир и жилых домов, в которых проживают многодетные семьи, семьи с детьми, находящиеся в трудной жизненной ситуации, в социально опасном положении (фотоматериалы прилагаются);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3) для размещения тематических инструкций на сайтах образовательных организаций и обучения детей использовать справочный материал мобильного приложения «МЧС России».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Провести дополнительные инструктажи с руководителями 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образовательных организаций, 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довести информацию о возможности обратиться в адрес органов государственного пожарного надзора, расположенных на подведомственной территории, с инициативой о проведении профилактического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 визита в порядке статьи 52.2 Федерального закона от 31 июля 2020 года № 248 «О государственном контроле (надзоре) и муниципальном контроле в Российской Федерации», в ходе которого будут разъяснены требования пожарной безопасности, предъявляемые к объекту.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Для изучения и использования в работе направляется информацию об обстановке с пожарами в Российской Федерации и выводами, содержащимися в статьях, подготовленных ФГБУ ВНИИПО МЧС России (приложение № 2, 3).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На основании вышеизложенного, в срок до 10 февраля 2025 года, направить в адрес министерства информацию о проделанной работе, о принимаемых мерах  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за соблюдением обязательных требований пожарной безопасности в учреждениях образования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с заполнение табличной формы.</w:t>
      </w:r>
      <w:r/>
    </w:p>
    <w:p>
      <w:pPr>
        <w:pStyle w:val="656"/>
        <w:ind w:firstLine="0"/>
        <w:jc w:val="both"/>
        <w:spacing w:line="360" w:lineRule="auto"/>
      </w:pPr>
      <w:r/>
      <w:r/>
    </w:p>
    <w:p>
      <w:pPr>
        <w:pStyle w:val="656"/>
        <w:ind w:firstLine="0"/>
        <w:jc w:val="both"/>
        <w:spacing w:line="360" w:lineRule="auto"/>
      </w:pPr>
      <w:r>
        <w:rPr>
          <w:rFonts w:ascii="Times New Roman" w:hAnsi="Times New Roman"/>
          <w:sz w:val="28"/>
          <w:szCs w:val="28"/>
        </w:rPr>
        <w:t xml:space="preserve">Приложение: 1. Фотоматериалы на 13 л. в 1 экз. в формате .rar;</w:t>
      </w:r>
      <w:r/>
    </w:p>
    <w:p>
      <w:pPr>
        <w:pStyle w:val="656"/>
        <w:ind w:firstLine="0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 xml:space="preserve">   2. Влияние нарушений ПУЭ на 8 л. в 1 экз.;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ab/>
        <w:tab/>
        <w:t xml:space="preserve">   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3. Обеспечение в области пожарной безопасности </w:t>
      </w:r>
      <w:bookmarkStart w:id="0" w:name="__DdeLink__106_3108737502"/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на 19 л. 1 экз</w:t>
      </w:r>
      <w:bookmarkEnd w:id="0"/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.;</w:t>
      </w:r>
      <w:r/>
    </w:p>
    <w:p>
      <w:pPr>
        <w:pStyle w:val="656"/>
        <w:ind w:firstLine="707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             </w:t>
      </w: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4. Таблица к заполнению на 1 л. 1 экз.</w:t>
      </w:r>
      <w:r/>
    </w:p>
    <w:p>
      <w:pPr>
        <w:pStyle w:val="656"/>
        <w:ind w:firstLine="707"/>
        <w:jc w:val="both"/>
        <w:spacing w:line="360" w:lineRule="auto"/>
        <w:rPr>
          <w:rFonts w:eastAsia="PT Astra Serif" w:cs="Times New Roman"/>
          <w:color w:val="000000"/>
          <w:lang w:eastAsia="zh-CN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56"/>
        <w:ind w:firstLine="707"/>
        <w:jc w:val="both"/>
        <w:spacing w:line="360" w:lineRule="auto"/>
        <w:rPr>
          <w:rFonts w:eastAsia="PT Astra Serif" w:cs="Times New Roman"/>
          <w:color w:val="000000"/>
          <w:lang w:eastAsia="zh-CN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56"/>
        <w:ind w:firstLine="707"/>
        <w:jc w:val="both"/>
        <w:spacing w:line="360" w:lineRule="auto"/>
        <w:rPr>
          <w:rFonts w:eastAsia="PT Astra Serif" w:cs="Times New Roman"/>
          <w:color w:val="000000"/>
          <w:lang w:eastAsia="zh-CN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56"/>
        <w:ind w:firstLine="0"/>
        <w:jc w:val="both"/>
        <w:spacing w:line="360" w:lineRule="auto"/>
      </w:pPr>
      <w:r>
        <w:rPr>
          <w:rFonts w:ascii="Times New Roman" w:hAnsi="Times New Roman" w:eastAsia="PT Astra Serif" w:cs="Times New Roman"/>
          <w:color w:val="000000"/>
          <w:sz w:val="28"/>
          <w:szCs w:val="28"/>
          <w:lang w:eastAsia="zh-CN"/>
        </w:rPr>
        <w:t xml:space="preserve">И.о. министра образования                                                                               Ю.В. Тей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/>
    </w:p>
    <w:p>
      <w:pPr>
        <w:pStyle w:val="656"/>
        <w:ind w:firstLine="0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56"/>
        <w:spacing w:before="106" w:after="0" w:line="240" w:lineRule="auto"/>
        <w:rPr>
          <w:rFonts w:ascii="Times New Roman" w:hAnsi="Times New Roman" w:eastAsia="Times New Roman" w:cs="NTTimes/Cyrillic"/>
          <w:b w:val="0"/>
          <w:bCs w:val="0"/>
          <w:color w:val="auto"/>
          <w:sz w:val="28"/>
          <w:szCs w:val="28"/>
          <w:lang w:val="ru-RU" w:eastAsia="zh-CN" w:bidi="ar-SA"/>
        </w:rPr>
      </w:pPr>
      <w:r>
        <w:rPr>
          <w:rFonts w:ascii="Times New Roman" w:hAnsi="Times New Roman" w:eastAsia="Times New Roman" w:cs="NTTimes/Cyrillic"/>
          <w:b w:val="0"/>
          <w:bCs w:val="0"/>
          <w:color w:val="auto"/>
          <w:sz w:val="28"/>
          <w:szCs w:val="28"/>
          <w:lang w:val="ru-RU" w:eastAsia="zh-CN" w:bidi="ar-SA"/>
        </w:rPr>
      </w:r>
      <w:r/>
    </w:p>
    <w:p>
      <w:pPr>
        <w:pStyle w:val="656"/>
        <w:rPr>
          <w:rFonts w:ascii="Times New Roman" w:hAnsi="Times New Roman" w:eastAsia="Times New Roman" w:cs="NTTimes/Cyrillic"/>
          <w:b w:val="0"/>
          <w:bCs w:val="0"/>
          <w:color w:val="auto"/>
          <w:sz w:val="28"/>
          <w:szCs w:val="28"/>
          <w:lang w:val="ru-RU" w:eastAsia="zh-CN" w:bidi="ar-SA"/>
        </w:rPr>
      </w:pPr>
      <w:r>
        <w:rPr>
          <w:rFonts w:ascii="Times New Roman" w:hAnsi="Times New Roman" w:eastAsia="Times New Roman" w:cs="NTTimes/Cyrillic"/>
          <w:b w:val="0"/>
          <w:bCs w:val="0"/>
          <w:color w:val="auto"/>
          <w:sz w:val="28"/>
          <w:szCs w:val="28"/>
          <w:lang w:val="ru-RU" w:eastAsia="zh-CN" w:bidi="ar-SA"/>
        </w:rPr>
      </w:r>
      <w:r/>
    </w:p>
    <w:p>
      <w:pPr>
        <w:pStyle w:val="656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NTTimes/Cyrillic"/>
          <w:b w:val="0"/>
          <w:bCs w:val="0"/>
          <w:color w:val="auto"/>
          <w:sz w:val="24"/>
          <w:szCs w:val="24"/>
          <w:lang w:val="ru-RU" w:eastAsia="zh-CN" w:bidi="ar-SA"/>
        </w:rPr>
        <w:t xml:space="preserve">Дудукчян Артур Мисакович</w:t>
      </w:r>
      <w:r/>
    </w:p>
    <w:p>
      <w:pPr>
        <w:pStyle w:val="656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8(423)</w:t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color w:val="212529"/>
          <w:spacing w:val="0"/>
          <w:sz w:val="24"/>
          <w:szCs w:val="24"/>
        </w:rPr>
        <w:t xml:space="preserve">240-05-98</w:t>
      </w:r>
      <w:r/>
    </w:p>
    <w:p>
      <w:pPr>
        <w:pStyle w:val="656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dudukchyan_am@primorsky.ru</w:t>
      </w:r>
      <w:r>
        <w:rPr>
          <w:rFonts w:ascii="Times New Roman" w:hAnsi="Times New Roman"/>
          <w:sz w:val="24"/>
          <w:szCs w:val="24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300" w:right="851" w:bottom="483" w:left="1140" w:header="15" w:footer="426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SimSun">
    <w:panose1 w:val="02000506000000020000"/>
  </w:font>
  <w:font w:name="Liberation Serif">
    <w:panose1 w:val="02020603050405020304"/>
  </w:font>
  <w:font w:name="Mangal">
    <w:panose1 w:val="02040503050306020203"/>
  </w:font>
  <w:font w:name="OpenSymbol">
    <w:panose1 w:val="05010000000000000000"/>
  </w:font>
  <w:font w:name="PT Astra Serif">
    <w:panose1 w:val="020A0603040505020204"/>
  </w:font>
  <w:font w:name="Arial">
    <w:panose1 w:val="020B0604020202020204"/>
  </w:font>
  <w:font w:name="NTTimes/Cyrillic">
    <w:panose1 w:val="02000603000000000000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6"/>
      <w:spacing w:line="240" w:lineRule="auto"/>
      <w:rPr>
        <w:rFonts w:ascii="Times New Roman" w:hAnsi="Times New Roman" w:eastAsia="Times New Roman" w:cs="NTTimes/Cyrillic"/>
        <w:b w:val="0"/>
        <w:bCs w:val="0"/>
        <w:color w:val="auto"/>
        <w:sz w:val="24"/>
        <w:szCs w:val="24"/>
        <w:lang w:val="ru-RU" w:eastAsia="zh-CN" w:bidi="ar-SA"/>
      </w:rPr>
    </w:pPr>
    <w:r>
      <w:rPr>
        <w:rFonts w:ascii="Times New Roman" w:hAnsi="Times New Roman" w:eastAsia="Times New Roman" w:cs="NTTimes/Cyrillic"/>
        <w:b w:val="0"/>
        <w:bCs w:val="0"/>
        <w:color w:val="auto"/>
        <w:sz w:val="24"/>
        <w:szCs w:val="24"/>
        <w:lang w:val="ru-RU" w:eastAsia="zh-CN" w:bidi="ar-SA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Noto Sans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 w:default="1">
    <w:name w:val="Normal"/>
    <w:qFormat/>
    <w:pPr>
      <w:jc w:val="left"/>
      <w:spacing w:before="0" w:after="0"/>
      <w:widowControl w:val="off"/>
    </w:pPr>
    <w:rPr>
      <w:rFonts w:ascii="NTTimes/Cyrillic" w:hAnsi="NTTimes/Cyrillic" w:eastAsia="Times New Roman" w:cs="NTTimes/Cyrillic"/>
      <w:color w:val="auto"/>
      <w:sz w:val="24"/>
      <w:szCs w:val="20"/>
      <w:lang w:val="ru-RU" w:eastAsia="zh-CN" w:bidi="ar-SA"/>
    </w:rPr>
  </w:style>
  <w:style w:type="paragraph" w:styleId="657">
    <w:name w:val="Heading 1"/>
    <w:basedOn w:val="656"/>
    <w:qFormat/>
    <w:pPr>
      <w:jc w:val="center"/>
      <w:keepNext/>
      <w:spacing w:before="120" w:after="0" w:line="280" w:lineRule="exact"/>
      <w:outlineLvl w:val="0"/>
    </w:pPr>
    <w:rPr>
      <w:rFonts w:ascii="Times New Roman" w:hAnsi="Times New Roman" w:cs="Times New Roman"/>
      <w:b/>
      <w:sz w:val="28"/>
    </w:rPr>
  </w:style>
  <w:style w:type="paragraph" w:styleId="658">
    <w:name w:val="Heading 2"/>
    <w:basedOn w:val="656"/>
    <w:qFormat/>
    <w:pPr>
      <w:jc w:val="center"/>
      <w:keepNext/>
      <w:spacing w:line="240" w:lineRule="exact"/>
      <w:outlineLvl w:val="1"/>
    </w:pPr>
    <w:rPr>
      <w:rFonts w:ascii="Times New Roman" w:hAnsi="Times New Roman" w:cs="Times New Roman"/>
      <w:b/>
    </w:rPr>
  </w:style>
  <w:style w:type="paragraph" w:styleId="659">
    <w:name w:val="Heading 3"/>
    <w:basedOn w:val="6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0">
    <w:name w:val="Heading 4"/>
    <w:basedOn w:val="65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65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65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3">
    <w:name w:val="Heading 7"/>
    <w:basedOn w:val="6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4">
    <w:name w:val="Heading 8"/>
    <w:basedOn w:val="6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6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7">
    <w:name w:val="Heading 2 Char"/>
    <w:uiPriority w:val="9"/>
    <w:qFormat/>
    <w:rPr>
      <w:rFonts w:ascii="Arial" w:hAnsi="Arial" w:eastAsia="Arial" w:cs="Arial"/>
      <w:sz w:val="34"/>
    </w:rPr>
  </w:style>
  <w:style w:type="character" w:styleId="668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9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70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7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2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4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5">
    <w:name w:val="Title Char"/>
    <w:uiPriority w:val="10"/>
    <w:qFormat/>
    <w:rPr>
      <w:sz w:val="48"/>
      <w:szCs w:val="48"/>
    </w:rPr>
  </w:style>
  <w:style w:type="character" w:styleId="676">
    <w:name w:val="Subtitle Char"/>
    <w:uiPriority w:val="11"/>
    <w:qFormat/>
    <w:rPr>
      <w:sz w:val="24"/>
      <w:szCs w:val="24"/>
    </w:rPr>
  </w:style>
  <w:style w:type="character" w:styleId="677">
    <w:name w:val="Quote Char"/>
    <w:uiPriority w:val="29"/>
    <w:qFormat/>
    <w:rPr>
      <w:i/>
    </w:rPr>
  </w:style>
  <w:style w:type="character" w:styleId="678">
    <w:name w:val="Intense Quote Char"/>
    <w:uiPriority w:val="30"/>
    <w:qFormat/>
    <w:rPr>
      <w:i/>
    </w:rPr>
  </w:style>
  <w:style w:type="character" w:styleId="679">
    <w:name w:val="Header Char"/>
    <w:uiPriority w:val="99"/>
    <w:qFormat/>
  </w:style>
  <w:style w:type="character" w:styleId="680">
    <w:name w:val="Footer Char"/>
    <w:uiPriority w:val="99"/>
    <w:qFormat/>
  </w:style>
  <w:style w:type="character" w:styleId="681">
    <w:name w:val="Caption Char"/>
    <w:uiPriority w:val="99"/>
    <w:qFormat/>
  </w:style>
  <w:style w:type="character" w:styleId="682">
    <w:name w:val="Hyperlink"/>
    <w:rPr>
      <w:color w:val="0000ff"/>
      <w:sz w:val="20"/>
      <w:u w:val="single"/>
    </w:rPr>
  </w:style>
  <w:style w:type="character" w:styleId="683">
    <w:name w:val="Footnote Text Char"/>
    <w:uiPriority w:val="99"/>
    <w:qFormat/>
    <w:rPr>
      <w:sz w:val="18"/>
    </w:rPr>
  </w:style>
  <w:style w:type="character" w:styleId="684">
    <w:name w:val="Символ сноски"/>
    <w:qFormat/>
    <w:rPr>
      <w:vertAlign w:val="superscript"/>
    </w:rPr>
  </w:style>
  <w:style w:type="character" w:styleId="685">
    <w:name w:val="footnote reference"/>
    <w:rPr>
      <w:vertAlign w:val="superscript"/>
    </w:rPr>
  </w:style>
  <w:style w:type="character" w:styleId="686">
    <w:name w:val="Footnote Characters"/>
    <w:uiPriority w:val="99"/>
    <w:unhideWhenUsed/>
    <w:qFormat/>
    <w:rPr>
      <w:vertAlign w:val="superscript"/>
    </w:rPr>
  </w:style>
  <w:style w:type="character" w:styleId="687">
    <w:name w:val="Endnote Text Char"/>
    <w:uiPriority w:val="99"/>
    <w:qFormat/>
    <w:rPr>
      <w:sz w:val="20"/>
    </w:rPr>
  </w:style>
  <w:style w:type="character" w:styleId="688">
    <w:name w:val="Символ концевой сноски"/>
    <w:qFormat/>
    <w:rPr>
      <w:vertAlign w:val="superscript"/>
    </w:rPr>
  </w:style>
  <w:style w:type="character" w:styleId="689">
    <w:name w:val="endnote reference"/>
    <w:rPr>
      <w:vertAlign w:val="superscript"/>
    </w:rPr>
  </w:style>
  <w:style w:type="character" w:styleId="690">
    <w:name w:val="Endnote Characters"/>
    <w:uiPriority w:val="99"/>
    <w:semiHidden/>
    <w:unhideWhenUsed/>
    <w:qFormat/>
    <w:rPr>
      <w:vertAlign w:val="superscript"/>
    </w:rPr>
  </w:style>
  <w:style w:type="character" w:styleId="691">
    <w:name w:val="WW8Num1z0"/>
    <w:qFormat/>
  </w:style>
  <w:style w:type="character" w:styleId="692">
    <w:name w:val="WW8Num1z1"/>
    <w:qFormat/>
  </w:style>
  <w:style w:type="character" w:styleId="693">
    <w:name w:val="WW8Num1z2"/>
    <w:qFormat/>
  </w:style>
  <w:style w:type="character" w:styleId="694">
    <w:name w:val="WW8Num1z3"/>
    <w:qFormat/>
  </w:style>
  <w:style w:type="character" w:styleId="695">
    <w:name w:val="WW8Num1z4"/>
    <w:qFormat/>
  </w:style>
  <w:style w:type="character" w:styleId="696">
    <w:name w:val="WW8Num1z5"/>
    <w:qFormat/>
  </w:style>
  <w:style w:type="character" w:styleId="697">
    <w:name w:val="WW8Num1z6"/>
    <w:qFormat/>
  </w:style>
  <w:style w:type="character" w:styleId="698">
    <w:name w:val="WW8Num1z7"/>
    <w:qFormat/>
  </w:style>
  <w:style w:type="character" w:styleId="699">
    <w:name w:val="WW8Num1z8"/>
    <w:qFormat/>
  </w:style>
  <w:style w:type="character" w:styleId="700">
    <w:name w:val="WW8Num2z0"/>
    <w:qFormat/>
  </w:style>
  <w:style w:type="character" w:styleId="701">
    <w:name w:val="WW8Num2z1"/>
    <w:qFormat/>
  </w:style>
  <w:style w:type="character" w:styleId="702">
    <w:name w:val="WW8Num2z2"/>
    <w:qFormat/>
  </w:style>
  <w:style w:type="character" w:styleId="703">
    <w:name w:val="WW8Num2z3"/>
    <w:qFormat/>
  </w:style>
  <w:style w:type="character" w:styleId="704">
    <w:name w:val="WW8Num2z4"/>
    <w:qFormat/>
  </w:style>
  <w:style w:type="character" w:styleId="705">
    <w:name w:val="WW8Num2z5"/>
    <w:qFormat/>
  </w:style>
  <w:style w:type="character" w:styleId="706">
    <w:name w:val="WW8Num2z6"/>
    <w:qFormat/>
  </w:style>
  <w:style w:type="character" w:styleId="707">
    <w:name w:val="WW8Num2z7"/>
    <w:qFormat/>
  </w:style>
  <w:style w:type="character" w:styleId="708">
    <w:name w:val="WW8Num2z8"/>
    <w:qFormat/>
  </w:style>
  <w:style w:type="character" w:styleId="709">
    <w:name w:val="Основной шрифт абзаца"/>
    <w:qFormat/>
  </w:style>
  <w:style w:type="character" w:styleId="710">
    <w:name w:val="Основной шрифт абзаца1"/>
    <w:qFormat/>
    <w:rPr>
      <w:sz w:val="20"/>
    </w:rPr>
  </w:style>
  <w:style w:type="character" w:styleId="711">
    <w:name w:val="FollowedHyperlink"/>
    <w:rPr>
      <w:color w:val="800080"/>
      <w:sz w:val="20"/>
      <w:u w:val="single"/>
    </w:rPr>
  </w:style>
  <w:style w:type="character" w:styleId="712">
    <w:name w:val="Page Number"/>
    <w:basedOn w:val="709"/>
  </w:style>
  <w:style w:type="character" w:styleId="713">
    <w:name w:val="Текст выноски Знак"/>
    <w:qFormat/>
    <w:rPr>
      <w:rFonts w:ascii="Tahoma" w:hAnsi="Tahoma" w:cs="Tahoma"/>
      <w:sz w:val="16"/>
      <w:szCs w:val="16"/>
    </w:rPr>
  </w:style>
  <w:style w:type="character" w:styleId="714">
    <w:name w:val="Верхний колонтитул Знак"/>
    <w:qFormat/>
    <w:rPr>
      <w:rFonts w:ascii="NTTimes/Cyrillic" w:hAnsi="NTTimes/Cyrillic" w:cs="NTTimes/Cyrillic"/>
      <w:sz w:val="24"/>
    </w:rPr>
  </w:style>
  <w:style w:type="character" w:styleId="715">
    <w:name w:val="epm"/>
    <w:basedOn w:val="709"/>
    <w:qFormat/>
  </w:style>
  <w:style w:type="character" w:styleId="716">
    <w:name w:val="ep"/>
    <w:basedOn w:val="709"/>
    <w:qFormat/>
  </w:style>
  <w:style w:type="character" w:styleId="717">
    <w:name w:val="Основной текст с отступом Знак"/>
    <w:qFormat/>
    <w:rPr>
      <w:rFonts w:ascii="NTTimes/Cyrillic" w:hAnsi="NTTimes/Cyrillic" w:cs="NTTimes/Cyrillic"/>
      <w:sz w:val="26"/>
    </w:rPr>
  </w:style>
  <w:style w:type="character" w:styleId="718">
    <w:name w:val="Заголовок 1 Знак"/>
    <w:qFormat/>
    <w:rPr>
      <w:b/>
      <w:sz w:val="28"/>
    </w:rPr>
  </w:style>
  <w:style w:type="character" w:styleId="719">
    <w:name w:val="Заголовок 2 Знак"/>
    <w:qFormat/>
    <w:rPr>
      <w:b/>
      <w:sz w:val="24"/>
    </w:rPr>
  </w:style>
  <w:style w:type="character" w:styleId="720">
    <w:name w:val="Основной текст Знак"/>
    <w:qFormat/>
    <w:rPr>
      <w:b/>
      <w:sz w:val="22"/>
    </w:rPr>
  </w:style>
  <w:style w:type="character" w:styleId="721">
    <w:name w:val="Основной текст 2 Знак"/>
    <w:qFormat/>
    <w:rPr>
      <w:rFonts w:ascii="NTTimes/Cyrillic" w:hAnsi="NTTimes/Cyrillic" w:cs="NTTimes/Cyrillic"/>
      <w:sz w:val="24"/>
    </w:rPr>
  </w:style>
  <w:style w:type="character" w:styleId="722" w:default="1">
    <w:name w:val="Default Paragraph Font"/>
    <w:uiPriority w:val="1"/>
    <w:semiHidden/>
    <w:unhideWhenUsed/>
    <w:qFormat/>
  </w:style>
  <w:style w:type="character" w:styleId="723">
    <w:name w:val="Маркеры"/>
    <w:qFormat/>
    <w:rPr>
      <w:rFonts w:ascii="OpenSymbol" w:hAnsi="OpenSymbol" w:eastAsia="OpenSymbol" w:cs="OpenSymbol"/>
    </w:rPr>
  </w:style>
  <w:style w:type="paragraph" w:styleId="724">
    <w:name w:val="Заголовок"/>
    <w:basedOn w:val="656"/>
    <w:next w:val="725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725">
    <w:name w:val="Body Text"/>
    <w:basedOn w:val="656"/>
    <w:pPr>
      <w:jc w:val="center"/>
      <w:spacing w:line="280" w:lineRule="exact"/>
    </w:pPr>
    <w:rPr>
      <w:rFonts w:ascii="Times New Roman" w:hAnsi="Times New Roman" w:cs="Times New Roman"/>
      <w:b/>
      <w:sz w:val="22"/>
    </w:rPr>
  </w:style>
  <w:style w:type="paragraph" w:styleId="726">
    <w:name w:val="List"/>
    <w:basedOn w:val="725"/>
    <w:rPr>
      <w:rFonts w:ascii="PT Astra Serif" w:hAnsi="PT Astra Serif" w:cs="Noto Sans Devanagari"/>
    </w:rPr>
  </w:style>
  <w:style w:type="paragraph" w:styleId="727">
    <w:name w:val="Caption"/>
    <w:basedOn w:val="656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28">
    <w:name w:val="Указатель"/>
    <w:basedOn w:val="656"/>
    <w:qFormat/>
    <w:pPr>
      <w:suppressLineNumbers/>
    </w:pPr>
    <w:rPr>
      <w:rFonts w:ascii="PT Astra Serif" w:hAnsi="PT Astra Serif" w:cs="Noto Sans Devanagari"/>
    </w:rPr>
  </w:style>
  <w:style w:type="paragraph" w:styleId="729">
    <w:name w:val="toc 5"/>
    <w:basedOn w:val="656"/>
    <w:next w:val="656"/>
    <w:uiPriority w:val="39"/>
    <w:unhideWhenUsed/>
    <w:pPr>
      <w:ind w:left="1134" w:right="0" w:firstLine="0"/>
      <w:spacing w:before="0" w:after="57"/>
    </w:pPr>
  </w:style>
  <w:style w:type="paragraph" w:styleId="730">
    <w:name w:val="toc 6"/>
    <w:basedOn w:val="656"/>
    <w:next w:val="656"/>
    <w:uiPriority w:val="39"/>
    <w:unhideWhenUsed/>
    <w:pPr>
      <w:ind w:left="1417" w:right="0" w:firstLine="0"/>
      <w:spacing w:before="0" w:after="57"/>
    </w:pPr>
  </w:style>
  <w:style w:type="paragraph" w:styleId="731">
    <w:name w:val="toc 7"/>
    <w:basedOn w:val="656"/>
    <w:next w:val="656"/>
    <w:uiPriority w:val="39"/>
    <w:unhideWhenUsed/>
    <w:pPr>
      <w:ind w:left="1701" w:right="0" w:firstLine="0"/>
      <w:spacing w:before="0" w:after="57"/>
    </w:pPr>
  </w:style>
  <w:style w:type="paragraph" w:styleId="732">
    <w:name w:val="toc 8"/>
    <w:basedOn w:val="656"/>
    <w:next w:val="656"/>
    <w:uiPriority w:val="39"/>
    <w:unhideWhenUsed/>
    <w:pPr>
      <w:ind w:left="1984" w:right="0" w:firstLine="0"/>
      <w:spacing w:before="0" w:after="57"/>
    </w:pPr>
  </w:style>
  <w:style w:type="paragraph" w:styleId="733">
    <w:name w:val="toc 9"/>
    <w:basedOn w:val="656"/>
    <w:next w:val="656"/>
    <w:uiPriority w:val="39"/>
    <w:unhideWhenUsed/>
    <w:pPr>
      <w:ind w:left="2268" w:right="0" w:firstLine="0"/>
      <w:spacing w:before="0" w:after="57"/>
    </w:pPr>
  </w:style>
  <w:style w:type="paragraph" w:styleId="734">
    <w:name w:val="List Paragraph"/>
    <w:basedOn w:val="656"/>
    <w:uiPriority w:val="34"/>
    <w:qFormat/>
    <w:pPr>
      <w:contextualSpacing/>
      <w:ind w:left="720" w:firstLine="0"/>
      <w:spacing w:before="0" w:after="0"/>
    </w:pPr>
  </w:style>
  <w:style w:type="paragraph" w:styleId="735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zh-CN" w:bidi="hi-IN"/>
    </w:rPr>
  </w:style>
  <w:style w:type="paragraph" w:styleId="736">
    <w:name w:val="Title"/>
    <w:basedOn w:val="65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7">
    <w:name w:val="Subtitle"/>
    <w:basedOn w:val="656"/>
    <w:uiPriority w:val="11"/>
    <w:qFormat/>
    <w:pPr>
      <w:spacing w:before="200" w:after="200"/>
    </w:pPr>
    <w:rPr>
      <w:sz w:val="24"/>
      <w:szCs w:val="24"/>
    </w:rPr>
  </w:style>
  <w:style w:type="paragraph" w:styleId="738">
    <w:name w:val="Quote"/>
    <w:basedOn w:val="656"/>
    <w:uiPriority w:val="29"/>
    <w:qFormat/>
    <w:pPr>
      <w:ind w:left="720" w:right="720" w:firstLine="0"/>
    </w:pPr>
    <w:rPr>
      <w:i/>
    </w:rPr>
  </w:style>
  <w:style w:type="paragraph" w:styleId="739">
    <w:name w:val="Intense Quote"/>
    <w:basedOn w:val="656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0">
    <w:name w:val="Верхний и нижний колонтитулы"/>
    <w:basedOn w:val="656"/>
    <w:qFormat/>
    <w:pPr>
      <w:tabs>
        <w:tab w:val="clear" w:pos="720" w:leader="none"/>
        <w:tab w:val="center" w:pos="4819" w:leader="none"/>
        <w:tab w:val="right" w:pos="9638" w:leader="none"/>
      </w:tabs>
      <w:suppressLineNumbers/>
    </w:pPr>
  </w:style>
  <w:style w:type="paragraph" w:styleId="741">
    <w:name w:val="Колонтитул"/>
    <w:basedOn w:val="656"/>
    <w:qFormat/>
  </w:style>
  <w:style w:type="paragraph" w:styleId="742">
    <w:name w:val="Header"/>
    <w:basedOn w:val="656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  <w:rPr>
      <w:lang w:val="en-US"/>
    </w:rPr>
  </w:style>
  <w:style w:type="paragraph" w:styleId="743">
    <w:name w:val="Footer"/>
    <w:basedOn w:val="656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744">
    <w:name w:val="footnote text"/>
    <w:basedOn w:val="656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45">
    <w:name w:val="endnote text"/>
    <w:basedOn w:val="656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46">
    <w:name w:val="toc 1"/>
    <w:basedOn w:val="656"/>
    <w:uiPriority w:val="39"/>
    <w:unhideWhenUsed/>
    <w:pPr>
      <w:ind w:left="0" w:right="0" w:firstLine="0"/>
      <w:spacing w:before="0" w:after="57"/>
    </w:pPr>
  </w:style>
  <w:style w:type="paragraph" w:styleId="747">
    <w:name w:val="toc 2"/>
    <w:basedOn w:val="656"/>
    <w:uiPriority w:val="39"/>
    <w:unhideWhenUsed/>
    <w:pPr>
      <w:ind w:left="283" w:right="0" w:firstLine="0"/>
      <w:spacing w:before="0" w:after="57"/>
    </w:pPr>
  </w:style>
  <w:style w:type="paragraph" w:styleId="748">
    <w:name w:val="toc 3"/>
    <w:basedOn w:val="656"/>
    <w:uiPriority w:val="39"/>
    <w:unhideWhenUsed/>
    <w:pPr>
      <w:ind w:left="567" w:right="0" w:firstLine="0"/>
      <w:spacing w:before="0" w:after="57"/>
    </w:pPr>
  </w:style>
  <w:style w:type="paragraph" w:styleId="749">
    <w:name w:val="toc 4"/>
    <w:basedOn w:val="656"/>
    <w:uiPriority w:val="39"/>
    <w:unhideWhenUsed/>
    <w:pPr>
      <w:ind w:left="850" w:right="0" w:firstLine="0"/>
      <w:spacing w:before="0" w:after="57"/>
    </w:pPr>
  </w:style>
  <w:style w:type="paragraph" w:styleId="750">
    <w:name w:val="Index Heading"/>
    <w:basedOn w:val="724"/>
  </w:style>
  <w:style w:type="paragraph" w:styleId="75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zh-CN" w:bidi="hi-IN"/>
    </w:rPr>
  </w:style>
  <w:style w:type="paragraph" w:styleId="752">
    <w:name w:val="table of figures"/>
    <w:basedOn w:val="656"/>
    <w:uiPriority w:val="99"/>
    <w:unhideWhenUsed/>
    <w:qFormat/>
    <w:pPr>
      <w:spacing w:before="0" w:after="0" w:afterAutospacing="0"/>
    </w:pPr>
  </w:style>
  <w:style w:type="paragraph" w:styleId="753">
    <w:name w:val="Body Text Indent"/>
    <w:basedOn w:val="656"/>
    <w:pPr>
      <w:ind w:left="0" w:right="0" w:firstLine="709"/>
      <w:jc w:val="both"/>
      <w:spacing w:line="360" w:lineRule="auto"/>
      <w:widowControl/>
    </w:pPr>
    <w:rPr>
      <w:sz w:val="26"/>
    </w:rPr>
  </w:style>
  <w:style w:type="paragraph" w:styleId="754">
    <w:name w:val="Текст выноски"/>
    <w:basedOn w:val="656"/>
    <w:qFormat/>
    <w:rPr>
      <w:rFonts w:ascii="Tahoma" w:hAnsi="Tahoma" w:cs="Tahoma"/>
      <w:sz w:val="16"/>
      <w:szCs w:val="16"/>
      <w:lang w:val="en-US"/>
    </w:rPr>
  </w:style>
  <w:style w:type="paragraph" w:styleId="755">
    <w:name w:val="Обычный (веб)"/>
    <w:basedOn w:val="656"/>
    <w:qFormat/>
    <w:pPr>
      <w:spacing w:before="100" w:after="100"/>
      <w:widowControl/>
    </w:pPr>
    <w:rPr>
      <w:rFonts w:ascii="Times New Roman" w:hAnsi="Times New Roman" w:eastAsia="Times New Roman" w:cs="Times New Roman"/>
      <w:szCs w:val="24"/>
    </w:rPr>
  </w:style>
  <w:style w:type="paragraph" w:styleId="756">
    <w:name w:val="ConsPlusNormal"/>
    <w:qFormat/>
    <w:pPr>
      <w:ind w:left="0" w:right="0" w:firstLine="720"/>
      <w:jc w:val="left"/>
      <w:spacing w:before="0" w:after="0"/>
      <w:widowControl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757">
    <w:name w:val="Standard"/>
    <w:qFormat/>
    <w:pPr>
      <w:jc w:val="left"/>
      <w:spacing w:before="0" w:after="0"/>
      <w:widowControl w:val="off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758">
    <w:name w:val=" Знак Знак Знак"/>
    <w:basedOn w:val="656"/>
    <w:qFormat/>
    <w:pPr>
      <w:ind w:left="0" w:right="0" w:firstLine="709"/>
      <w:spacing w:before="0" w:after="160" w:line="240" w:lineRule="exact"/>
      <w:widowControl/>
    </w:pPr>
    <w:rPr>
      <w:rFonts w:ascii="Verdana" w:hAnsi="Verdana" w:cs="Verdana"/>
      <w:sz w:val="16"/>
    </w:rPr>
  </w:style>
  <w:style w:type="paragraph" w:styleId="759">
    <w:name w:val="Основной текст 2"/>
    <w:basedOn w:val="656"/>
    <w:qFormat/>
    <w:pPr>
      <w:spacing w:before="0" w:after="120" w:line="480" w:lineRule="auto"/>
    </w:pPr>
  </w:style>
  <w:style w:type="paragraph" w:styleId="760">
    <w:name w:val="Содержимое таблицы"/>
    <w:basedOn w:val="656"/>
    <w:qFormat/>
    <w:pPr>
      <w:widowControl w:val="off"/>
      <w:suppressLineNumbers/>
    </w:pPr>
  </w:style>
  <w:style w:type="paragraph" w:styleId="761">
    <w:name w:val="Заголовок таблицы"/>
    <w:basedOn w:val="760"/>
    <w:qFormat/>
    <w:pPr>
      <w:jc w:val="center"/>
      <w:suppressLineNumbers/>
    </w:pPr>
    <w:rPr>
      <w:b/>
      <w:bCs/>
    </w:rPr>
  </w:style>
  <w:style w:type="paragraph" w:styleId="762">
    <w:name w:val="Text body"/>
    <w:basedOn w:val="757"/>
    <w:qFormat/>
    <w:pPr>
      <w:jc w:val="center"/>
      <w:spacing w:line="280" w:lineRule="exact"/>
    </w:pPr>
    <w:rPr>
      <w:b/>
      <w:sz w:val="22"/>
      <w:szCs w:val="20"/>
    </w:rPr>
  </w:style>
  <w:style w:type="paragraph" w:styleId="763">
    <w:name w:val="Знак Знак Знак"/>
    <w:basedOn w:val="656"/>
    <w:qFormat/>
    <w:pPr>
      <w:ind w:firstLine="709"/>
      <w:spacing w:before="0" w:after="160" w:line="240" w:lineRule="exact"/>
      <w:widowControl/>
    </w:pPr>
    <w:rPr>
      <w:rFonts w:ascii="Verdana" w:hAnsi="Verdana" w:cs="Verdana"/>
      <w:sz w:val="16"/>
    </w:rPr>
  </w:style>
  <w:style w:type="numbering" w:styleId="764" w:default="1">
    <w:name w:val="No List"/>
    <w:uiPriority w:val="99"/>
    <w:semiHidden/>
    <w:unhideWhenUsed/>
    <w:qFormat/>
  </w:style>
  <w:style w:type="table" w:styleId="765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68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69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96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97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98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9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0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07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0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0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1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1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1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1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14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29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30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31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32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33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34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35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6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5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5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6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6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6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63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6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6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6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6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6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6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7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7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7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7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7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7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7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7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7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7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8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84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85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6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87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88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89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90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Template>ПИСЬМО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«GERBM»</dc:title>
  <dc:subject/>
  <dc:creator>gerasimchuk_di</dc:creator>
  <dc:description/>
  <dc:language>ru-RU</dc:language>
  <cp:revision>49</cp:revision>
  <dcterms:modified xsi:type="dcterms:W3CDTF">2025-01-30T06:55:34Z</dcterms:modified>
</cp:coreProperties>
</file>